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sz w:val="30"/>
        </w:rPr>
        <w:t>VIDAUS APDAILOS IR REMONTO DARBŲ SUTARTIS</w:t>
      </w:r>
    </w:p>
    <w:p>
      <w:pPr>
        <w:spacing w:after="180"/>
        <w:jc w:val="center"/>
      </w:pPr>
      <w:r>
        <w:rPr>
          <w:rFonts w:ascii="Arial" w:hAnsi="Arial"/>
          <w:i/>
          <w:color w:val="5A5A5A"/>
          <w:sz w:val="18"/>
        </w:rPr>
        <w:t>paprastiems remonto / apdailos darbams</w:t>
      </w:r>
    </w:p>
    <w:tbl>
      <w:tblPr>
        <w:tblStyle w:val="TableGrid"/>
        <w:tblW w:type="auto" w:w="0"/>
        <w:jc w:val="center"/>
        <w:tblLayout w:type="fixed"/>
        <w:tblLook w:firstColumn="1" w:firstRow="1" w:lastColumn="0" w:lastRow="0" w:noHBand="0" w:noVBand="1" w:val="04A0"/>
      </w:tblPr>
      <w:tblGrid>
        <w:gridCol w:w="3437"/>
        <w:gridCol w:w="3437"/>
        <w:gridCol w:w="3437"/>
      </w:tblGrid>
      <w:tr>
        <w:tc>
          <w:tcPr>
            <w:tcW w:type="dxa" w:w="2041"/>
            <w:shd w:fill="EDEDED"/>
            <w:tcMar>
              <w:top w:w="80" w:type="dxa"/>
              <w:start w:w="90" w:type="dxa"/>
              <w:bottom w:w="80" w:type="dxa"/>
              <w:end w:w="90" w:type="dxa"/>
            </w:tcMar>
            <w:vAlign w:val="center"/>
          </w:tcPr>
          <w:p>
            <w:r>
              <w:rPr>
                <w:rFonts w:ascii="Arial" w:hAnsi="Arial"/>
                <w:b/>
                <w:sz w:val="18"/>
              </w:rPr>
              <w:t>Sutarties Nr.</w:t>
            </w:r>
          </w:p>
        </w:tc>
        <w:tc>
          <w:tcPr>
            <w:tcW w:type="dxa" w:w="2948"/>
            <w:shd w:fill="EDEDED"/>
            <w:tcMar>
              <w:top w:w="80" w:type="dxa"/>
              <w:start w:w="90" w:type="dxa"/>
              <w:bottom w:w="80" w:type="dxa"/>
              <w:end w:w="90" w:type="dxa"/>
            </w:tcMar>
            <w:vAlign w:val="center"/>
          </w:tcPr>
          <w:p>
            <w:r>
              <w:rPr>
                <w:rFonts w:ascii="Arial" w:hAnsi="Arial"/>
                <w:b/>
                <w:sz w:val="18"/>
              </w:rPr>
              <w:t>Data</w:t>
            </w:r>
          </w:p>
        </w:tc>
        <w:tc>
          <w:tcPr>
            <w:tcW w:type="dxa" w:w="4025"/>
            <w:shd w:fill="EDEDED"/>
            <w:tcMar>
              <w:top w:w="80" w:type="dxa"/>
              <w:start w:w="90" w:type="dxa"/>
              <w:bottom w:w="80" w:type="dxa"/>
              <w:end w:w="90" w:type="dxa"/>
            </w:tcMar>
            <w:vAlign w:val="center"/>
          </w:tcPr>
          <w:p>
            <w:r>
              <w:rPr>
                <w:rFonts w:ascii="Arial" w:hAnsi="Arial"/>
                <w:b/>
                <w:sz w:val="18"/>
              </w:rPr>
              <w:t>Objekto adresas</w:t>
            </w:r>
          </w:p>
        </w:tc>
      </w:tr>
      <w:tr>
        <w:tc>
          <w:tcPr>
            <w:tcW w:type="dxa" w:w="2041"/>
            <w:tcMar>
              <w:top w:w="80" w:type="dxa"/>
              <w:start w:w="90" w:type="dxa"/>
              <w:bottom w:w="80" w:type="dxa"/>
              <w:end w:w="90" w:type="dxa"/>
            </w:tcMar>
            <w:vAlign w:val="center"/>
          </w:tcPr>
          <w:p>
            <w:r>
              <w:rPr>
                <w:rFonts w:ascii="Arial" w:hAnsi="Arial"/>
                <w:sz w:val="18"/>
              </w:rPr>
              <w:t>__________________</w:t>
            </w:r>
          </w:p>
        </w:tc>
        <w:tc>
          <w:tcPr>
            <w:tcW w:type="dxa" w:w="2948"/>
            <w:tcMar>
              <w:top w:w="80" w:type="dxa"/>
              <w:start w:w="90" w:type="dxa"/>
              <w:bottom w:w="80" w:type="dxa"/>
              <w:end w:w="90" w:type="dxa"/>
            </w:tcMar>
            <w:vAlign w:val="center"/>
          </w:tcPr>
          <w:p>
            <w:r>
              <w:rPr>
                <w:rFonts w:ascii="Arial" w:hAnsi="Arial"/>
                <w:sz w:val="18"/>
              </w:rPr>
              <w:t>__________________</w:t>
            </w:r>
          </w:p>
        </w:tc>
        <w:tc>
          <w:tcPr>
            <w:tcW w:type="dxa" w:w="4025"/>
            <w:tcMar>
              <w:top w:w="80" w:type="dxa"/>
              <w:start w:w="90" w:type="dxa"/>
              <w:bottom w:w="80" w:type="dxa"/>
              <w:end w:w="90" w:type="dxa"/>
            </w:tcMar>
            <w:vAlign w:val="center"/>
          </w:tcPr>
          <w:p>
            <w:r>
              <w:rPr>
                <w:rFonts w:ascii="Arial" w:hAnsi="Arial"/>
                <w:sz w:val="18"/>
              </w:rPr>
              <w:t>________________________________</w:t>
            </w:r>
          </w:p>
        </w:tc>
      </w:tr>
    </w:tbl>
    <w:p>
      <w:pPr>
        <w:spacing w:after="20"/>
      </w:pPr>
    </w:p>
    <w:p>
      <w:pPr>
        <w:pStyle w:val="SectionHeading"/>
        <w:keepNext/>
      </w:pPr>
      <w:r>
        <w:t>1. ŠALYS</w:t>
      </w:r>
    </w:p>
    <w:tbl>
      <w:tblPr>
        <w:tblStyle w:val="TableGrid"/>
        <w:tblW w:type="auto" w:w="0"/>
        <w:jc w:val="center"/>
        <w:tblLayout w:type="fixed"/>
        <w:tblLook w:firstColumn="1" w:firstRow="1" w:lastColumn="0" w:lastRow="0" w:noHBand="0" w:noVBand="1" w:val="04A0"/>
      </w:tblPr>
      <w:tblGrid>
        <w:gridCol w:w="1531"/>
        <w:gridCol w:w="7483"/>
      </w:tblGrid>
      <w:tr>
        <w:tc>
          <w:tcPr>
            <w:tcW w:type="dxa" w:w="5156"/>
            <w:shd w:fill="EDEDED"/>
            <w:tcMar>
              <w:top w:w="80" w:type="dxa"/>
              <w:start w:w="90" w:type="dxa"/>
              <w:bottom w:w="80" w:type="dxa"/>
              <w:end w:w="90" w:type="dxa"/>
            </w:tcMar>
            <w:vAlign w:val="center"/>
          </w:tcPr>
          <w:p>
            <w:r>
              <w:rPr>
                <w:rFonts w:ascii="Arial" w:hAnsi="Arial"/>
                <w:b/>
                <w:sz w:val="18"/>
              </w:rPr>
              <w:t>Užsakovas</w:t>
            </w:r>
          </w:p>
        </w:tc>
        <w:tc>
          <w:tcPr>
            <w:tcW w:type="dxa" w:w="5156"/>
            <w:tcMar>
              <w:top w:w="80" w:type="dxa"/>
              <w:start w:w="90" w:type="dxa"/>
              <w:bottom w:w="80" w:type="dxa"/>
              <w:end w:w="90" w:type="dxa"/>
            </w:tcMar>
            <w:vAlign w:val="center"/>
          </w:tcPr>
          <w:p>
            <w:r>
              <w:rPr>
                <w:rFonts w:ascii="Arial" w:hAnsi="Arial"/>
                <w:sz w:val="18"/>
              </w:rPr>
              <w:t>Vardas, pavardė / įmonė: ________________________________________________</w:t>
              <w:br/>
              <w:t>Asmens / įmonės kodas: __________________  Telefonas: __________________</w:t>
              <w:br/>
              <w:t>El. paštas: ______________________________  Adresas: ____________________</w:t>
            </w:r>
          </w:p>
        </w:tc>
      </w:tr>
      <w:tr>
        <w:tc>
          <w:tcPr>
            <w:tcW w:type="dxa" w:w="5156"/>
            <w:shd w:fill="EDEDED"/>
            <w:tcMar>
              <w:top w:w="80" w:type="dxa"/>
              <w:start w:w="90" w:type="dxa"/>
              <w:bottom w:w="80" w:type="dxa"/>
              <w:end w:w="90" w:type="dxa"/>
            </w:tcMar>
            <w:vAlign w:val="center"/>
          </w:tcPr>
          <w:p>
            <w:r>
              <w:rPr>
                <w:rFonts w:ascii="Arial" w:hAnsi="Arial"/>
                <w:b/>
                <w:sz w:val="18"/>
              </w:rPr>
              <w:t>Rangovas</w:t>
            </w:r>
          </w:p>
        </w:tc>
        <w:tc>
          <w:tcPr>
            <w:tcW w:type="dxa" w:w="5156"/>
            <w:tcMar>
              <w:top w:w="80" w:type="dxa"/>
              <w:start w:w="90" w:type="dxa"/>
              <w:bottom w:w="80" w:type="dxa"/>
              <w:end w:w="90" w:type="dxa"/>
            </w:tcMar>
            <w:vAlign w:val="center"/>
          </w:tcPr>
          <w:p>
            <w:r>
              <w:rPr>
                <w:rFonts w:ascii="Arial" w:hAnsi="Arial"/>
                <w:sz w:val="18"/>
              </w:rPr>
              <w:t>Vardas, pavardė / įmonė: ________________________________________________</w:t>
              <w:br/>
              <w:t>Asmens / įmonės kodas: __________________  Telefonas: __________________</w:t>
              <w:br/>
              <w:t>El. paštas: ______________________________  Banko sąskaita: ______________</w:t>
            </w:r>
          </w:p>
        </w:tc>
      </w:tr>
    </w:tbl>
    <w:p>
      <w:pPr>
        <w:pStyle w:val="SectionHeading"/>
        <w:keepNext/>
      </w:pPr>
      <w:r>
        <w:t>2. SUTARTIES OBJEKTAS IR DARBŲ APIMTIS</w:t>
      </w:r>
    </w:p>
    <w:p>
      <w:pPr>
        <w:pStyle w:val="Body"/>
        <w:ind w:left="312" w:hanging="312"/>
      </w:pPr>
      <w:r>
        <w:rPr>
          <w:b/>
        </w:rPr>
        <w:t xml:space="preserve">2.1. </w:t>
      </w:r>
      <w:r>
        <w:t>Rangovas įsipareigoja atlikti vidaus apdailos / remonto darbus Užsakovo objekte, o Užsakovas įsipareigoja sudaryti sąlygas darbams, priimti tinkamai atliktą rezultatą ir už jį atsiskaityti.</w:t>
      </w:r>
    </w:p>
    <w:p>
      <w:pPr>
        <w:pStyle w:val="Body"/>
        <w:ind w:left="312" w:hanging="312"/>
      </w:pPr>
      <w:r>
        <w:rPr>
          <w:b/>
        </w:rPr>
        <w:t xml:space="preserve">2.2. </w:t>
      </w:r>
      <w:r>
        <w:t>Darbų apimtį sudaro šioje sutartyje, sąmatoje / darbų apraše, prieduose ir vėlesniuose rašytiniuose šalių susitarimuose aiškiai nurodyti darbai.</w:t>
      </w:r>
    </w:p>
    <w:p>
      <w:pPr>
        <w:pStyle w:val="Body"/>
        <w:ind w:left="312" w:hanging="312"/>
      </w:pPr>
      <w:r>
        <w:rPr>
          <w:b/>
        </w:rPr>
        <w:t xml:space="preserve">2.3. </w:t>
      </w:r>
      <w:r>
        <w:t>Jeigu darbų metu paaiškėja paslėpti defektai, papildomi būtini darbai ar aplinkybės, kurių protingai nebuvo galima nustatyti iki darbų pradžios, tokie darbai nelaikomi įskaičiuotais į pradinę kainą ir derinami papildomai.</w:t>
      </w:r>
    </w:p>
    <w:p>
      <w:pPr>
        <w:pStyle w:val="Body"/>
        <w:ind w:left="312" w:hanging="312"/>
      </w:pPr>
      <w:r>
        <w:rPr>
          <w:b/>
        </w:rPr>
        <w:t xml:space="preserve">2.4. </w:t>
      </w:r>
      <w:r>
        <w:t>Sąmata, jei ji sudaroma ir patvirtinama abiejų šalių, yra neatskiriama šios sutarties dalis.</w:t>
      </w:r>
    </w:p>
    <w:p>
      <w:pPr>
        <w:pStyle w:val="SectionHeading"/>
        <w:keepNext/>
      </w:pPr>
      <w:r>
        <w:t>3. DARBŲ TERMINAI</w:t>
      </w:r>
    </w:p>
    <w:p>
      <w:pPr>
        <w:pStyle w:val="Body"/>
        <w:ind w:left="312" w:hanging="312"/>
      </w:pPr>
      <w:r>
        <w:rPr>
          <w:b/>
        </w:rPr>
        <w:t xml:space="preserve">3.1. </w:t>
      </w:r>
      <w:r>
        <w:t>Darbų pradžia: ______________________     Planuojama darbų pabaiga: ______________________.</w:t>
      </w:r>
    </w:p>
    <w:p>
      <w:pPr>
        <w:pStyle w:val="Body"/>
        <w:ind w:left="312" w:hanging="312"/>
      </w:pPr>
      <w:r>
        <w:rPr>
          <w:b/>
        </w:rPr>
        <w:t xml:space="preserve">3.2. </w:t>
      </w:r>
      <w:r>
        <w:t>Darbų terminai pratęsiami tiek, kiek faktiškai trunka kliūtis ir jos padariniai, jeigu Užsakovas vėluoja atsiskaityti, nepateikia medžiagų, sprendimų, projekto, neįleidžia į objektą, keičia darbų apimtį, atsiranda papildomi darbai, tiekimo sutrikimai ar kitos nuo Rangovo pagrįstai nepriklausančios aplinkybės.</w:t>
      </w:r>
    </w:p>
    <w:p>
      <w:pPr>
        <w:pStyle w:val="Body"/>
        <w:ind w:left="312" w:hanging="312"/>
      </w:pPr>
      <w:r>
        <w:rPr>
          <w:b/>
        </w:rPr>
        <w:t xml:space="preserve">3.3. </w:t>
      </w:r>
      <w:r>
        <w:t>Apie reikšmingą termino pasikeitimą Rangovas informuoja Užsakovą žinute, el. paštu ar kitu įprastu šalių naudojamu ryšio būdu.</w:t>
      </w:r>
    </w:p>
    <w:p>
      <w:pPr>
        <w:pStyle w:val="SectionHeading"/>
        <w:keepNext/>
      </w:pPr>
      <w:r>
        <w:t>4. KAINA IR ATSISKAITYMAS</w:t>
      </w:r>
    </w:p>
    <w:p>
      <w:pPr>
        <w:pStyle w:val="Body"/>
        <w:ind w:left="312" w:hanging="312"/>
      </w:pPr>
      <w:r>
        <w:rPr>
          <w:b/>
        </w:rPr>
        <w:t xml:space="preserve">4.1. </w:t>
      </w:r>
      <w:r>
        <w:t>Sutarties / sąmatos kaina: __________________ Eur. Jei kaina nustatoma pagal faktinius kiekius ar etapus, tai aiškiai pažymima sąmatoje.</w:t>
      </w:r>
    </w:p>
    <w:p>
      <w:pPr>
        <w:pStyle w:val="Body"/>
        <w:ind w:left="312" w:hanging="312"/>
      </w:pPr>
      <w:r>
        <w:rPr>
          <w:b/>
        </w:rPr>
        <w:t xml:space="preserve">4.2. </w:t>
      </w:r>
      <w:r>
        <w:t>Avansas: __________________ Eur / ______ %. Avansas sumokamas iki __________________. Jeigu avansas nesumokamas laiku, Rangovas gali nepradėti darbų, o darbų pradžios ir pabaigos terminai atitinkamai nusikelia.</w:t>
      </w:r>
    </w:p>
    <w:p>
      <w:pPr>
        <w:pStyle w:val="Body"/>
        <w:ind w:left="312" w:hanging="312"/>
      </w:pPr>
      <w:r>
        <w:rPr>
          <w:b/>
        </w:rPr>
        <w:t xml:space="preserve">4.3. </w:t>
      </w:r>
      <w:r>
        <w:t>Tarpiniai mokėjimai, jei taikomi: 1 etapas __________________ – ______ Eur; 2 etapas __________________ – ______ Eur; 3 etapas __________________ – ______ Eur.</w:t>
      </w:r>
    </w:p>
    <w:p>
      <w:pPr>
        <w:pStyle w:val="Body"/>
        <w:ind w:left="312" w:hanging="312"/>
      </w:pPr>
      <w:r>
        <w:rPr>
          <w:b/>
        </w:rPr>
        <w:t xml:space="preserve">4.4. </w:t>
      </w:r>
      <w:r>
        <w:t>Galutinis atsiskaitymas atliekamas per ______ kalendorines dienas nuo darbų ar etapo perdavimo, sąskaitos / mokėjimo dokumento pateikimo arba kito šalių sutarto momento.</w:t>
      </w:r>
    </w:p>
    <w:p>
      <w:pPr>
        <w:pStyle w:val="Body"/>
        <w:ind w:left="312" w:hanging="312"/>
      </w:pPr>
      <w:r>
        <w:rPr>
          <w:b/>
        </w:rPr>
        <w:t xml:space="preserve">4.5. </w:t>
      </w:r>
      <w:r>
        <w:t>Užsakovui vėluojant atsiskaityti ilgiau kaip 3 kalendorines dienas po Rangovo priminimo, Rangovas turi teisę sustabdyti darbus iki apmokėjimo. Sustabdymo laikotarpis ir pagrįstas darbų atnaujinimo laikas pridedamas prie darbų termino.</w:t>
      </w:r>
    </w:p>
    <w:p>
      <w:pPr>
        <w:pStyle w:val="Body"/>
        <w:ind w:left="312" w:hanging="312"/>
      </w:pPr>
      <w:r>
        <w:rPr>
          <w:b/>
        </w:rPr>
        <w:t xml:space="preserve">4.6. </w:t>
      </w:r>
      <w:r>
        <w:t>Už pavėluotą mokėjimą, jei šalys nepasirenka kitaip, gali būti skaičiuojami 0,02 % delspinigiai už kiekvieną pavėluotą dieną nuo laiku nesumokėtos sumos, kiek tai neprieštarauja taikomoms teisės normoms.</w:t>
      </w:r>
    </w:p>
    <w:p>
      <w:pPr>
        <w:pStyle w:val="SectionHeading"/>
        <w:keepNext/>
      </w:pPr>
      <w:r>
        <w:t>5. MEDŽIAGOS IR ĮRANGA</w:t>
      </w:r>
    </w:p>
    <w:p>
      <w:pPr>
        <w:pStyle w:val="Body"/>
        <w:ind w:left="312" w:hanging="312"/>
      </w:pPr>
      <w:r>
        <w:rPr>
          <w:b/>
        </w:rPr>
        <w:t xml:space="preserve">5.1. </w:t>
      </w:r>
      <w:r>
        <w:t>Medžiagas tiekia: [  ] Rangovas   [  ] Užsakovas   [  ] mišriai pagal sąmatą / susitarimą.</w:t>
      </w:r>
    </w:p>
    <w:p>
      <w:pPr>
        <w:pStyle w:val="Body"/>
        <w:ind w:left="312" w:hanging="312"/>
      </w:pPr>
      <w:r>
        <w:rPr>
          <w:b/>
        </w:rPr>
        <w:t xml:space="preserve">5.2. </w:t>
      </w:r>
      <w:r>
        <w:t>Kai medžiagas ar gaminius pateikia Užsakovas, Rangovas neatsako už trūkumus, vėlavimus ar gedimus, kurie atsirado dėl tų medžiagų netinkamos kokybės, netinkamumo paskirčiai ar pavėluoto pristatymo, jeigu Rangovas apie akivaizdžią riziką Užsakovą perspėjo arba jos objektyviai negalėjo nustatyti.</w:t>
      </w:r>
    </w:p>
    <w:p>
      <w:pPr>
        <w:pStyle w:val="Body"/>
        <w:ind w:left="312" w:hanging="312"/>
      </w:pPr>
      <w:r>
        <w:rPr>
          <w:b/>
        </w:rPr>
        <w:t xml:space="preserve">5.3. </w:t>
      </w:r>
      <w:r>
        <w:t>Jeigu Užsakovas, nepaisydamas Rangovo perspėjimo, reikalauja naudoti konkrečią medžiagą, gaminį ar technologinį sprendimą, su tuo sprendimu susijusi rizika tenka Užsakovui tiek, kiek ją lėmė būtent toks jo pasirinkimas.</w:t>
      </w:r>
    </w:p>
    <w:p>
      <w:pPr>
        <w:pStyle w:val="SectionHeading"/>
        <w:keepNext/>
      </w:pPr>
      <w:r>
        <w:t>6. PAPILDOMI DARBAI IR PAKEITIMAI</w:t>
      </w:r>
    </w:p>
    <w:p>
      <w:pPr>
        <w:pStyle w:val="Body"/>
        <w:ind w:left="312" w:hanging="312"/>
      </w:pPr>
      <w:r>
        <w:rPr>
          <w:b/>
        </w:rPr>
        <w:t xml:space="preserve">6.1. </w:t>
      </w:r>
      <w:r>
        <w:t>Papildomais laikomi darbai, kurie nebuvo aiškiai įtraukti į pradinį darbų aprašą / sąmatą, paaiškėjo ardymo ar remonto eigoje arba kurių vėliau paprašė Užsakovas.</w:t>
      </w:r>
    </w:p>
    <w:p>
      <w:pPr>
        <w:pStyle w:val="Body"/>
        <w:ind w:left="312" w:hanging="312"/>
      </w:pPr>
      <w:r>
        <w:rPr>
          <w:b/>
        </w:rPr>
        <w:t xml:space="preserve">6.2. </w:t>
      </w:r>
      <w:r>
        <w:t>Papildomų darbų apimtis, kaina ir, jei aktualu, termino pasikeitimas gali būti suderinti atskiru dokumentu, el. paštu, SMS, „WhatsApp“ ar kita žinute, jeigu iš susirašinėjimo aiškiai matyti abiejų šalių susitarimas.</w:t>
      </w:r>
    </w:p>
    <w:p>
      <w:pPr>
        <w:pStyle w:val="Body"/>
        <w:ind w:left="312" w:hanging="312"/>
      </w:pPr>
      <w:r>
        <w:rPr>
          <w:b/>
        </w:rPr>
        <w:t xml:space="preserve">6.3. </w:t>
      </w:r>
      <w:r>
        <w:t>Jeigu Užsakovas nesutinka su papildomo darbo kaina ar būtinybe, Rangovas turi teisę tokio papildomo darbo neatlikti, o Užsakovas privalo atsiskaityti už iki tol tinkamai atliktus darbus ir pagrįstas jau patirtas išlaidas.</w:t>
      </w:r>
    </w:p>
    <w:p>
      <w:pPr>
        <w:pStyle w:val="SectionHeading"/>
        <w:keepNext/>
      </w:pPr>
      <w:r>
        <w:t>7. UŽSAKOVO PAREIGOS</w:t>
      </w:r>
    </w:p>
    <w:p>
      <w:pPr>
        <w:pStyle w:val="Body"/>
        <w:ind w:left="312" w:hanging="312"/>
      </w:pPr>
      <w:r>
        <w:rPr>
          <w:b/>
        </w:rPr>
        <w:t xml:space="preserve">7.1. </w:t>
      </w:r>
      <w:r>
        <w:t>laiku atsiskaityti ir pateikti sutartus sprendimus, medžiagas bei informaciją;</w:t>
      </w:r>
    </w:p>
    <w:p>
      <w:pPr>
        <w:pStyle w:val="Body"/>
        <w:ind w:left="312" w:hanging="312"/>
      </w:pPr>
      <w:r>
        <w:rPr>
          <w:b/>
        </w:rPr>
        <w:t xml:space="preserve">7.2. </w:t>
      </w:r>
      <w:r>
        <w:t>sudaryti galimybę sutartu laiku patekti į objektą ir užtikrinti darbams reikalingas įprastas sąlygas (elektrą, vandenį, priėjimą), jei nesusitarta kitaip;</w:t>
      </w:r>
    </w:p>
    <w:p>
      <w:pPr>
        <w:pStyle w:val="Body"/>
        <w:ind w:left="312" w:hanging="312"/>
      </w:pPr>
      <w:r>
        <w:rPr>
          <w:b/>
        </w:rPr>
        <w:t xml:space="preserve">7.3. </w:t>
      </w:r>
      <w:r>
        <w:t>nedelsiant informuoti apie pastebėtas aplinkybes, galinčias paveikti darbų kokybę ar terminus;</w:t>
      </w:r>
    </w:p>
    <w:p>
      <w:pPr>
        <w:pStyle w:val="Body"/>
        <w:ind w:left="312" w:hanging="312"/>
      </w:pPr>
      <w:r>
        <w:rPr>
          <w:b/>
        </w:rPr>
        <w:t xml:space="preserve">7.4. </w:t>
      </w:r>
      <w:r>
        <w:t>neįpareigoti Rangovo atlikti papildomų darbų be susitarimo dėl jų kainos / apmokėjimo tvarkos;</w:t>
      </w:r>
    </w:p>
    <w:p>
      <w:pPr>
        <w:pStyle w:val="Body"/>
        <w:ind w:left="312" w:hanging="312"/>
      </w:pPr>
      <w:r>
        <w:rPr>
          <w:b/>
        </w:rPr>
        <w:t xml:space="preserve">7.5. </w:t>
      </w:r>
      <w:r>
        <w:t>priimti užbaigtus darbus ar etapą ir pateikti konkrečias pastabas sutartyje nustatyta tvarka.</w:t>
      </w:r>
    </w:p>
    <w:p>
      <w:pPr>
        <w:pStyle w:val="SectionHeading"/>
        <w:keepNext/>
      </w:pPr>
      <w:r>
        <w:t>8. RANGOVO PAREIGOS IR DARBŲ EIGOS FIKSAVIMAS</w:t>
      </w:r>
    </w:p>
    <w:p>
      <w:pPr>
        <w:pStyle w:val="Body"/>
        <w:ind w:left="312" w:hanging="312"/>
      </w:pPr>
      <w:r>
        <w:rPr>
          <w:b/>
        </w:rPr>
        <w:t xml:space="preserve">8.1. </w:t>
      </w:r>
      <w:r>
        <w:t>Rangovas darbus atlieka rūpestingai, pagal sutartą apimtį, įprastai tokio pobūdžio darbams taikomus kokybės reikalavimus ir privalomus teisės aktų reikalavimus.</w:t>
      </w:r>
    </w:p>
    <w:p>
      <w:pPr>
        <w:pStyle w:val="Body"/>
        <w:ind w:left="312" w:hanging="312"/>
      </w:pPr>
      <w:r>
        <w:rPr>
          <w:b/>
        </w:rPr>
        <w:t xml:space="preserve">8.2. </w:t>
      </w:r>
      <w:r>
        <w:t>Rangovas neatsako už ankstesnių rangovų, paslėptų konstrukcijų, senų inžinerinių tinklų ar kitų iš anksto neidentifikuojamų defektų pasekmes tiek, kiek jų nesukėlė pats Rangovas.</w:t>
      </w:r>
    </w:p>
    <w:p>
      <w:pPr>
        <w:pStyle w:val="Body"/>
        <w:ind w:left="312" w:hanging="312"/>
      </w:pPr>
      <w:r>
        <w:rPr>
          <w:b/>
        </w:rPr>
        <w:t xml:space="preserve">8.3. </w:t>
      </w:r>
      <w:r>
        <w:t>Rangovas turi teisę fotografuoti ar filmuoti darbų eigą, paslėptus sluoksnius, defektus ir atliktų darbų būklę tik darbų dokumentavimo, kokybės, garantijos ir galimo ginčo įrodymų tikslais. Viešam nuotraukų naudojimui su atpažįstamu privačiu objektu ar asmens duomenimis reikalingas atskiras Užsakovo sutikimas.</w:t>
      </w:r>
    </w:p>
    <w:p>
      <w:pPr>
        <w:pStyle w:val="SectionHeading"/>
        <w:keepNext/>
      </w:pPr>
      <w:r>
        <w:t>9. DARBŲ PERDAVIMAS IR PRIĖMIMAS</w:t>
      </w:r>
    </w:p>
    <w:p>
      <w:pPr>
        <w:pStyle w:val="Body"/>
        <w:ind w:left="312" w:hanging="312"/>
      </w:pPr>
      <w:r>
        <w:rPr>
          <w:b/>
        </w:rPr>
        <w:t xml:space="preserve">9.1. </w:t>
      </w:r>
      <w:r>
        <w:t>Baigęs visus darbus arba sutartą etapą, Rangovas apie tai informuoja Užsakovą ir, jei taikoma, pateikia darbų priėmimo-perdavimo aktą.</w:t>
      </w:r>
    </w:p>
    <w:p>
      <w:pPr>
        <w:pStyle w:val="Body"/>
        <w:ind w:left="312" w:hanging="312"/>
      </w:pPr>
      <w:r>
        <w:rPr>
          <w:b/>
        </w:rPr>
        <w:t xml:space="preserve">9.2. </w:t>
      </w:r>
      <w:r>
        <w:t>Užsakovas per 3 darbo dienas nuo pranešimo turi apžiūrėti darbus ir juos priimti arba raštu pateikti konkrečias, motyvuotas pastabas dėl neatitikimų.</w:t>
      </w:r>
    </w:p>
    <w:p>
      <w:pPr>
        <w:pStyle w:val="Body"/>
        <w:ind w:left="312" w:hanging="312"/>
      </w:pPr>
      <w:r>
        <w:rPr>
          <w:b/>
        </w:rPr>
        <w:t xml:space="preserve">9.3. </w:t>
      </w:r>
      <w:r>
        <w:t>Jeigu per šį terminą Užsakovas be pagrįstos priežasties nepateikia konkrečių pastabų ir vengia priėmimo, Rangovas gali surašyti vienašalį darbų perdavimo aktą, užfiksuodamas darbų būklę. Ši nuostata nepanaikina įstatymuose numatytų Užsakovo teisių dėl paslėptų trūkumų.</w:t>
      </w:r>
    </w:p>
    <w:p>
      <w:pPr>
        <w:pStyle w:val="Body"/>
        <w:ind w:left="312" w:hanging="312"/>
      </w:pPr>
      <w:r>
        <w:rPr>
          <w:b/>
        </w:rPr>
        <w:t xml:space="preserve">9.4. </w:t>
      </w:r>
      <w:r>
        <w:t>Naudojimasis atliktų darbų rezultatu po pranešimo apie užbaigimą gali būti vertinamas kaip faktinė aplinkybė, patvirtinanti, kad darbų rezultatas buvo perduotas naudoti, tačiau savaime nepanaikina privalomų Užsakovo teisių.</w:t>
      </w:r>
    </w:p>
    <w:p>
      <w:pPr>
        <w:pStyle w:val="SectionHeading"/>
        <w:keepNext/>
      </w:pPr>
      <w:r>
        <w:t>10. TRŪKUMAI IR GARANTIJA</w:t>
      </w:r>
    </w:p>
    <w:p>
      <w:pPr>
        <w:pStyle w:val="Body"/>
        <w:ind w:left="312" w:hanging="312"/>
      </w:pPr>
      <w:r>
        <w:rPr>
          <w:b/>
        </w:rPr>
        <w:t xml:space="preserve">10.1. </w:t>
      </w:r>
      <w:r>
        <w:t>Darbams taikomi sutartyje ir teisės aktuose nustatyti kokybės bei garantiniai reikalavimai. Ši sutartis neriboja tų vartotojo teisių, kurių pagal įstatymus negalima atsisakyti ar susiaurinti.</w:t>
      </w:r>
    </w:p>
    <w:p>
      <w:pPr>
        <w:pStyle w:val="Body"/>
        <w:ind w:left="312" w:hanging="312"/>
      </w:pPr>
      <w:r>
        <w:rPr>
          <w:b/>
        </w:rPr>
        <w:t xml:space="preserve">10.2. </w:t>
      </w:r>
      <w:r>
        <w:t>Apie pastebėtą trūkumą Užsakovas turi kuo greičiau informuoti Rangovą ir suteikti jam realią galimybę trūkumą apžiūrėti bei, jei trūkumas pagrįstai priskirtinas Rangovo darbams, pašalinti per protingą terminą.</w:t>
      </w:r>
    </w:p>
    <w:p>
      <w:pPr>
        <w:pStyle w:val="Body"/>
        <w:ind w:left="312" w:hanging="312"/>
      </w:pPr>
      <w:r>
        <w:rPr>
          <w:b/>
        </w:rPr>
        <w:t xml:space="preserve">10.3. </w:t>
      </w:r>
      <w:r>
        <w:t>Rangovas neatsako už trūkumus, atsiradusius dėl netinkamo naudojimo, trečiųjų asmenų vėlesnių darbų, Užsakovo medžiagų ar nurodymų, konstrukcijų judėjimo, drėgmės / avarijų ar kitų priežasčių, kurių Rangovas nesukėlė ir negalėjo protingai kontroliuoti.</w:t>
      </w:r>
    </w:p>
    <w:p>
      <w:pPr>
        <w:pStyle w:val="SectionHeading"/>
        <w:keepNext/>
      </w:pPr>
      <w:r>
        <w:t>11. DARBŲ STABDYMAS IR SUTARTIES NUTRAUKIMAS</w:t>
      </w:r>
    </w:p>
    <w:p>
      <w:pPr>
        <w:pStyle w:val="Body"/>
        <w:ind w:left="312" w:hanging="312"/>
      </w:pPr>
      <w:r>
        <w:rPr>
          <w:b/>
        </w:rPr>
        <w:t xml:space="preserve">11.1. </w:t>
      </w:r>
      <w:r>
        <w:t>Rangovas turi teisę laikinai sustabdyti darbus, jeigu Užsakovas iš esmės pažeidžia mokėjimo terminus, nesudaro sąlygų darbams, nepateikia būtinų sprendimų ar medžiagų arba reikalauja atlikti nesuderintus darbus.</w:t>
      </w:r>
    </w:p>
    <w:p>
      <w:pPr>
        <w:pStyle w:val="Body"/>
        <w:ind w:left="312" w:hanging="312"/>
      </w:pPr>
      <w:r>
        <w:rPr>
          <w:b/>
        </w:rPr>
        <w:t xml:space="preserve">11.2. </w:t>
      </w:r>
      <w:r>
        <w:t>Sutartį nutraukus, Užsakovas atsiskaito už faktiškai ir tinkamai atliktus darbus, jau nupirktas / negrąžinamas objektui skirtas medžiagas ir kitas pagrįstas su sutarties vykdymu patirtas išlaidas, kiek tai leidžia teisės aktai.</w:t>
      </w:r>
    </w:p>
    <w:p>
      <w:pPr>
        <w:pStyle w:val="Body"/>
        <w:ind w:left="312" w:hanging="312"/>
      </w:pPr>
      <w:r>
        <w:rPr>
          <w:b/>
        </w:rPr>
        <w:t xml:space="preserve">11.3. </w:t>
      </w:r>
      <w:r>
        <w:t>Jeigu sutartis nutraukiama dėl Rangovo kaltės, šalių atsakomybė nustatoma pagal faktines aplinkybes, šią sutartį ir taikomus teisės aktus.</w:t>
      </w:r>
    </w:p>
    <w:p>
      <w:pPr>
        <w:pStyle w:val="SectionHeading"/>
        <w:keepNext/>
      </w:pPr>
      <w:r>
        <w:t>12. GINČAI IR BAIGIAMOSIOS NUOSTATOS</w:t>
      </w:r>
    </w:p>
    <w:p>
      <w:pPr>
        <w:pStyle w:val="Body"/>
        <w:ind w:left="312" w:hanging="312"/>
      </w:pPr>
      <w:r>
        <w:rPr>
          <w:b/>
        </w:rPr>
        <w:t xml:space="preserve">12.1. </w:t>
      </w:r>
      <w:r>
        <w:t>Šalys pirmiausia siekia ginčą išspręsti derybomis ir rašytiniu susirašinėjimu, aiškiai nurodant problemą ir siūlomą sprendimą.</w:t>
      </w:r>
    </w:p>
    <w:p>
      <w:pPr>
        <w:pStyle w:val="Body"/>
        <w:ind w:left="312" w:hanging="312"/>
      </w:pPr>
      <w:r>
        <w:rPr>
          <w:b/>
        </w:rPr>
        <w:t xml:space="preserve">12.2. </w:t>
      </w:r>
      <w:r>
        <w:t>Nepavykus susitarti, ginčas sprendžiamas Lietuvos Respublikos teisės aktų nustatyta tvarka. Jei Užsakovas yra vartotojas, jam išlieka teisės aktuose numatytos vartotojų teisių gynimo ir neteisminio ginčų sprendimo galimybės.</w:t>
      </w:r>
    </w:p>
    <w:p>
      <w:pPr>
        <w:pStyle w:val="Body"/>
        <w:ind w:left="312" w:hanging="312"/>
      </w:pPr>
      <w:r>
        <w:rPr>
          <w:b/>
        </w:rPr>
        <w:t xml:space="preserve">12.3. </w:t>
      </w:r>
      <w:r>
        <w:t>Šios sutarties pakeitimai, papildymai ir susitarimai galioja, kai juos galima patikimai susieti su abiem šalimis ir iš jų aiškiai matyti suderinta valia. Esminius pakeitimus rekomenduojama patvirtinti raštu.</w:t>
      </w:r>
    </w:p>
    <w:p>
      <w:pPr>
        <w:pStyle w:val="Body"/>
        <w:ind w:left="312" w:hanging="312"/>
      </w:pPr>
      <w:r>
        <w:rPr>
          <w:b/>
        </w:rPr>
        <w:t xml:space="preserve">12.4. </w:t>
      </w:r>
      <w:r>
        <w:t>Sutartis sudaroma dviem egzemplioriais arba pasirašoma elektroniniu būdu; kiekviena šalis gauna po vieną egzempliorių / elektroninę kopiją.</w:t>
      </w:r>
    </w:p>
    <w:p>
      <w:pPr>
        <w:pStyle w:val="SectionHeading"/>
        <w:keepNext/>
      </w:pPr>
      <w:r>
        <w:t>13. PRIEDAI (JEI TAIKOMA)</w:t>
      </w:r>
    </w:p>
    <w:p>
      <w:pPr>
        <w:pStyle w:val="Body"/>
        <w:ind w:left="312" w:hanging="312"/>
      </w:pPr>
      <w:r>
        <w:rPr>
          <w:b/>
        </w:rPr>
        <w:t xml:space="preserve">13.1. </w:t>
      </w:r>
      <w:r>
        <w:t>Priedas Nr. 1 – darbų sąmata / darbų aprašas.</w:t>
      </w:r>
    </w:p>
    <w:p>
      <w:pPr>
        <w:pStyle w:val="Body"/>
        <w:ind w:left="312" w:hanging="312"/>
      </w:pPr>
      <w:r>
        <w:rPr>
          <w:b/>
        </w:rPr>
        <w:t xml:space="preserve">13.2. </w:t>
      </w:r>
      <w:r>
        <w:t>Priedas Nr. 2 – papildomų darbų susitarimas (-ai).</w:t>
      </w:r>
    </w:p>
    <w:p>
      <w:pPr>
        <w:pStyle w:val="Body"/>
        <w:ind w:left="312" w:hanging="312"/>
      </w:pPr>
      <w:r>
        <w:rPr>
          <w:b/>
        </w:rPr>
        <w:t xml:space="preserve">13.3. </w:t>
      </w:r>
      <w:r>
        <w:t>Priedas Nr. 3 – darbų priėmimo-perdavimo aktas (-ai).</w:t>
      </w:r>
    </w:p>
    <w:p>
      <w:pPr>
        <w:spacing w:before="160" w:after="80"/>
        <w:pBdr>
          <w:bottom w:val="single" w:sz="6" w:space="1" w:color="B7B7B7"/>
        </w:pBdr>
      </w:pPr>
      <w:r>
        <w:rPr>
          <w:rFonts w:ascii="Arial" w:hAnsi="Arial"/>
          <w:b/>
          <w:sz w:val="23"/>
        </w:rPr>
        <w:t>ŠALIŲ PARAŠAI</w:t>
      </w:r>
    </w:p>
    <w:tbl>
      <w:tblPr>
        <w:tblStyle w:val="TableGrid"/>
        <w:tblW w:type="auto" w:w="0"/>
        <w:jc w:val="center"/>
        <w:tblLayout w:type="fixed"/>
        <w:tblLook w:firstColumn="1" w:firstRow="1" w:lastColumn="0" w:lastRow="0" w:noHBand="0" w:noVBand="1" w:val="04A0"/>
      </w:tblPr>
      <w:tblGrid>
        <w:gridCol w:w="5156"/>
        <w:gridCol w:w="5156"/>
      </w:tblGrid>
      <w:tr>
        <w:tc>
          <w:tcPr>
            <w:tcW w:type="dxa" w:w="4365"/>
            <w:shd w:fill="EDEDED"/>
            <w:tcMar>
              <w:top w:w="100" w:type="dxa"/>
              <w:start w:w="120" w:type="dxa"/>
              <w:bottom w:w="100" w:type="dxa"/>
              <w:end w:w="120" w:type="dxa"/>
            </w:tcMar>
          </w:tcPr>
          <w:p>
            <w:pPr>
              <w:jc w:val="center"/>
            </w:pPr>
            <w:r>
              <w:rPr>
                <w:rFonts w:ascii="Arial" w:hAnsi="Arial"/>
                <w:b/>
                <w:sz w:val="18"/>
              </w:rPr>
              <w:t>UŽSAKOVAS</w:t>
            </w:r>
          </w:p>
        </w:tc>
        <w:tc>
          <w:tcPr>
            <w:tcW w:type="dxa" w:w="4365"/>
            <w:shd w:fill="EDEDED"/>
            <w:tcMar>
              <w:top w:w="100" w:type="dxa"/>
              <w:start w:w="120" w:type="dxa"/>
              <w:bottom w:w="100" w:type="dxa"/>
              <w:end w:w="120" w:type="dxa"/>
            </w:tcMar>
          </w:tcPr>
          <w:p>
            <w:pPr>
              <w:jc w:val="center"/>
            </w:pPr>
            <w:r>
              <w:rPr>
                <w:rFonts w:ascii="Arial" w:hAnsi="Arial"/>
                <w:b/>
                <w:sz w:val="18"/>
              </w:rPr>
              <w:t>RANGOVAS</w:t>
            </w:r>
          </w:p>
        </w:tc>
      </w:tr>
      <w:tr>
        <w:tc>
          <w:tcPr>
            <w:tcW w:type="dxa" w:w="4365"/>
            <w:tcMar>
              <w:top w:w="100" w:type="dxa"/>
              <w:start w:w="120" w:type="dxa"/>
              <w:bottom w:w="100" w:type="dxa"/>
              <w:end w:w="120" w:type="dxa"/>
            </w:tcMar>
          </w:tcPr>
          <w:p>
            <w:r>
              <w:rPr>
                <w:rFonts w:ascii="Arial" w:hAnsi="Arial"/>
                <w:sz w:val="18"/>
              </w:rPr>
              <w:t>Vardas, pavardė / įmonė:</w:t>
              <w:br/>
              <w:t>____________________________________</w:t>
            </w:r>
          </w:p>
        </w:tc>
        <w:tc>
          <w:tcPr>
            <w:tcW w:type="dxa" w:w="4365"/>
            <w:tcMar>
              <w:top w:w="100" w:type="dxa"/>
              <w:start w:w="120" w:type="dxa"/>
              <w:bottom w:w="100" w:type="dxa"/>
              <w:end w:w="120" w:type="dxa"/>
            </w:tcMar>
          </w:tcPr>
          <w:p>
            <w:r>
              <w:rPr>
                <w:rFonts w:ascii="Arial" w:hAnsi="Arial"/>
                <w:sz w:val="18"/>
              </w:rPr>
              <w:t>Vardas, pavardė / įmonė:</w:t>
              <w:br/>
              <w:t>____________________________________</w:t>
            </w:r>
          </w:p>
        </w:tc>
      </w:tr>
      <w:tr>
        <w:tc>
          <w:tcPr>
            <w:tcW w:type="dxa" w:w="4365"/>
            <w:tcMar>
              <w:top w:w="100" w:type="dxa"/>
              <w:start w:w="120" w:type="dxa"/>
              <w:bottom w:w="100" w:type="dxa"/>
              <w:end w:w="120" w:type="dxa"/>
            </w:tcMar>
          </w:tcPr>
          <w:p>
            <w:r>
              <w:rPr>
                <w:rFonts w:ascii="Arial" w:hAnsi="Arial"/>
                <w:sz w:val="18"/>
              </w:rPr>
              <w:t>Parašas:</w:t>
              <w:br/>
              <w:t>____________________________________</w:t>
            </w:r>
          </w:p>
        </w:tc>
        <w:tc>
          <w:tcPr>
            <w:tcW w:type="dxa" w:w="4365"/>
            <w:tcMar>
              <w:top w:w="100" w:type="dxa"/>
              <w:start w:w="120" w:type="dxa"/>
              <w:bottom w:w="100" w:type="dxa"/>
              <w:end w:w="120" w:type="dxa"/>
            </w:tcMar>
          </w:tcPr>
          <w:p>
            <w:r>
              <w:rPr>
                <w:rFonts w:ascii="Arial" w:hAnsi="Arial"/>
                <w:sz w:val="18"/>
              </w:rPr>
              <w:t>Parašas:</w:t>
              <w:br/>
              <w:t>____________________________________</w:t>
            </w:r>
          </w:p>
        </w:tc>
      </w:tr>
      <w:tr>
        <w:tc>
          <w:tcPr>
            <w:tcW w:type="dxa" w:w="4365"/>
            <w:tcMar>
              <w:top w:w="100" w:type="dxa"/>
              <w:start w:w="120" w:type="dxa"/>
              <w:bottom w:w="100" w:type="dxa"/>
              <w:end w:w="120" w:type="dxa"/>
            </w:tcMar>
          </w:tcPr>
          <w:p>
            <w:r>
              <w:rPr>
                <w:rFonts w:ascii="Arial" w:hAnsi="Arial"/>
                <w:sz w:val="18"/>
              </w:rPr>
              <w:t>Data:</w:t>
              <w:br/>
              <w:t>____________________________________</w:t>
            </w:r>
          </w:p>
        </w:tc>
        <w:tc>
          <w:tcPr>
            <w:tcW w:type="dxa" w:w="4365"/>
            <w:tcMar>
              <w:top w:w="100" w:type="dxa"/>
              <w:start w:w="120" w:type="dxa"/>
              <w:bottom w:w="100" w:type="dxa"/>
              <w:end w:w="120" w:type="dxa"/>
            </w:tcMar>
          </w:tcPr>
          <w:p>
            <w:r>
              <w:rPr>
                <w:rFonts w:ascii="Arial" w:hAnsi="Arial"/>
                <w:sz w:val="18"/>
              </w:rPr>
              <w:t>Data:</w:t>
              <w:br/>
              <w:t>____________________________________</w:t>
            </w:r>
          </w:p>
        </w:tc>
      </w:tr>
      <w:tr>
        <w:tc>
          <w:tcPr>
            <w:tcW w:type="dxa" w:w="4365"/>
            <w:tcMar>
              <w:top w:w="100" w:type="dxa"/>
              <w:start w:w="120" w:type="dxa"/>
              <w:bottom w:w="100" w:type="dxa"/>
              <w:end w:w="120" w:type="dxa"/>
            </w:tcMar>
          </w:tcPr>
          <w:p>
            <w:r>
              <w:rPr>
                <w:rFonts w:ascii="Arial" w:hAnsi="Arial"/>
                <w:sz w:val="18"/>
              </w:rPr>
              <w:t>Telefonas / el. paštas:</w:t>
              <w:br/>
              <w:t>____________________________________</w:t>
            </w:r>
          </w:p>
        </w:tc>
        <w:tc>
          <w:tcPr>
            <w:tcW w:type="dxa" w:w="4365"/>
            <w:tcMar>
              <w:top w:w="100" w:type="dxa"/>
              <w:start w:w="120" w:type="dxa"/>
              <w:bottom w:w="100" w:type="dxa"/>
              <w:end w:w="120" w:type="dxa"/>
            </w:tcMar>
          </w:tcPr>
          <w:p>
            <w:r>
              <w:rPr>
                <w:rFonts w:ascii="Arial" w:hAnsi="Arial"/>
                <w:sz w:val="18"/>
              </w:rPr>
              <w:t>Telefonas / el. paštas:</w:t>
              <w:br/>
              <w:t>____________________________________</w:t>
            </w:r>
          </w:p>
        </w:tc>
      </w:tr>
    </w:tbl>
    <w:p>
      <w:pPr>
        <w:spacing w:before="160" w:after="0"/>
        <w:jc w:val="both"/>
      </w:pPr>
      <w:r>
        <w:rPr>
          <w:rFonts w:ascii="Arial" w:hAnsi="Arial"/>
          <w:b/>
          <w:sz w:val="16"/>
        </w:rPr>
        <w:t xml:space="preserve">Pastaba: </w:t>
      </w:r>
      <w:r>
        <w:rPr>
          <w:rFonts w:ascii="Arial" w:hAnsi="Arial"/>
          <w:i/>
          <w:color w:val="5F5F5F"/>
          <w:sz w:val="16"/>
        </w:rPr>
        <w:t>tai bendro pobūdžio šablonas, skirtas paprastiems vidaus apdailos ir remonto darbams. Prieš naudojant didelės vertės, sudėtingam ar nestandartiniam objektui, sutartį verta pritaikyti konkrečiai situacijai ir, jei reikia, peržiūrėti teisininkui.</w:t>
      </w:r>
    </w:p>
    <w:sectPr w:rsidR="00FC693F" w:rsidRPr="0006063C" w:rsidSect="00034616">
      <w:headerReference w:type="default" r:id="rId9"/>
      <w:footerReference w:type="default" r:id="rId10"/>
      <w:pgSz w:w="12240" w:h="15840"/>
      <w:pgMar w:top="879" w:right="964" w:bottom="822"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87878"/>
        <w:sz w:val="15"/>
      </w:rPr>
      <w:t>BuildIQ.lt  •  Šablonas pritaikomas konkrečiam objektui ir šalių susitarimui.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E6E6E"/>
        <w:sz w:val="15"/>
      </w:rPr>
      <w:t>BUILD IQ | VIDAUS APDAILOS IR REMONTO DARBŲ SUTARTIES ŠABLONAS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pPr>
      <w:spacing w:after="70" w:line="252" w:lineRule="auto"/>
      <w:jc w:val="both"/>
    </w:pPr>
    <w:rPr>
      <w:rFonts w:ascii="Arial" w:hAnsi="Arial" w:eastAsia="Arial"/>
      <w:sz w:val="20"/>
    </w:rPr>
  </w:style>
  <w:style w:type="paragraph" w:customStyle="1" w:styleId="SectionHeading">
    <w:name w:val="SectionHeading"/>
    <w:pPr>
      <w:spacing w:before="140" w:after="80"/>
    </w:pPr>
    <w:rPr>
      <w:rFonts w:ascii="Arial" w:hAnsi="Arial" w:eastAsia="Arial"/>
      <w:b/>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Vidaus apdailos ir remonto darbų sutartis</dc:title>
  <dc:subject>BuildIQ rangos sutarties šablonas</dc:subject>
  <dc:creator>BuildIQ</dc:creator>
  <cp:keywords>remonto darbų sutartis, vidaus apdaila, rangos sutartis</cp:keywords>
  <dc:description>generated by python-docx</dc:description>
  <cp:lastModifiedBy/>
  <cp:revision>1</cp:revision>
  <dcterms:created xsi:type="dcterms:W3CDTF">2013-12-23T23:15:00Z</dcterms:created>
  <dcterms:modified xsi:type="dcterms:W3CDTF">2013-12-23T23:15:00Z</dcterms:modified>
  <cp:category/>
</cp:coreProperties>
</file>